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 w:line="240" w:lineRule="auto"/>
      </w:pPr>
      <w:r>
        <w:rPr>
          <w:rFonts w:ascii="Calibri" w:hAnsi="Calibri" w:cs="Calibri"/>
          <w:b/>
          <w:color w:val="00879A"/>
          <w:spacing w:val="30"/>
          <w:sz w:val="15"/>
          <w:szCs w:val="15"/>
        </w:rPr>
        <w:t xml:space="preserve">IPAP · PROGRAMA DE FORMACIÓN GENERAL 2026</w:t>
      </w:r>
    </w:p>
    <w:p>
      <w:pPr>
        <w:keepNext/>
        <w:spacing w:before="0" w:after="60" w:line="240" w:lineRule="auto"/>
      </w:pPr>
      <w:r>
        <w:rPr>
          <w:rFonts w:ascii="Calibri" w:hAnsi="Calibri" w:cs="Calibri"/>
          <w:b/>
          <w:color w:val="1C2030"/>
          <w:sz w:val="42"/>
          <w:szCs w:val="42"/>
        </w:rPr>
        <w:t xml:space="preserve">Desarrollo de aplicaciones web con PHP y Laravel</w:t>
      </w:r>
    </w:p>
    <w:p>
      <w:pPr>
        <w:spacing w:before="0" w:after="200" w:line="240" w:lineRule="auto"/>
      </w:pPr>
      <w:r>
        <w:rPr>
          <w:rFonts w:ascii="Calibri" w:hAnsi="Calibri" w:cs="Calibri"/>
          <w:color w:val="707070"/>
          <w:sz w:val="22"/>
          <w:szCs w:val="22"/>
        </w:rPr>
        <w:t xml:space="preserve">Programa 2026</w:t>
      </w:r>
    </w:p>
    <w:tbl>
      <w:tblPr>
        <w:tblW w:w="9000" w:type="dxa"/>
        <w:tblBorders>
          <w:top w:val="single" w:sz="4" w:space="0" w:color="DFE3EC"/>
          <w:left w:val="single" w:sz="4" w:space="0" w:color="DFE3EC"/>
          <w:bottom w:val="single" w:sz="4" w:space="0" w:color="DFE3EC"/>
          <w:right w:val="single" w:sz="4" w:space="0" w:color="DFE3EC"/>
          <w:insideH w:val="single" w:sz="4" w:space="0" w:color="DFE3EC"/>
          <w:insideV w:val="single" w:sz="4" w:space="0" w:color="DFE3EC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  <w:shd w:val="clear" w:color="auto" w:fill="F2FBFD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caps/>
                <w:color w:val="707070"/>
                <w:spacing w:val="10"/>
                <w:sz w:val="15"/>
                <w:szCs w:val="15"/>
              </w:rPr>
              <w:t xml:space="preserve">Docente</w:t>
            </w:r>
          </w:p>
        </w:tc>
        <w:tc>
          <w:tcPr>
            <w:tcW w:w="6000" w:type="dxa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21"/>
                <w:szCs w:val="21"/>
              </w:rPr>
              <w:t xml:space="preserve">Dario Blancá</w:t>
            </w:r>
          </w:p>
        </w:tc>
      </w:tr>
      <w:tr>
        <w:tc>
          <w:tcPr>
            <w:tcW w:w="3000" w:type="dxa"/>
            <w:shd w:val="clear" w:color="auto" w:fill="F2FBFD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caps/>
                <w:color w:val="707070"/>
                <w:spacing w:val="10"/>
                <w:sz w:val="15"/>
                <w:szCs w:val="15"/>
              </w:rPr>
              <w:t xml:space="preserve">Tipo de actividad</w:t>
            </w:r>
          </w:p>
        </w:tc>
        <w:tc>
          <w:tcPr>
            <w:tcW w:w="6000" w:type="dxa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21"/>
                <w:szCs w:val="21"/>
              </w:rPr>
              <w:t xml:space="preserve">Curso</w:t>
            </w:r>
          </w:p>
        </w:tc>
      </w:tr>
      <w:tr>
        <w:tc>
          <w:tcPr>
            <w:tcW w:w="3000" w:type="dxa"/>
            <w:shd w:val="clear" w:color="auto" w:fill="F2FBFD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caps/>
                <w:color w:val="707070"/>
                <w:spacing w:val="10"/>
                <w:sz w:val="15"/>
                <w:szCs w:val="15"/>
              </w:rPr>
              <w:t xml:space="preserve">Modalidad pedagógica</w:t>
            </w:r>
          </w:p>
        </w:tc>
        <w:tc>
          <w:tcPr>
            <w:tcW w:w="6000" w:type="dxa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21"/>
                <w:szCs w:val="21"/>
              </w:rPr>
              <w:t xml:space="preserve">Virtual</w:t>
            </w:r>
          </w:p>
        </w:tc>
      </w:tr>
      <w:tr>
        <w:tc>
          <w:tcPr>
            <w:tcW w:w="3000" w:type="dxa"/>
            <w:shd w:val="clear" w:color="auto" w:fill="F2FBFD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caps/>
                <w:color w:val="707070"/>
                <w:spacing w:val="10"/>
                <w:sz w:val="15"/>
                <w:szCs w:val="15"/>
              </w:rPr>
              <w:t xml:space="preserve">Cantidad de clases</w:t>
            </w:r>
          </w:p>
        </w:tc>
        <w:tc>
          <w:tcPr>
            <w:tcW w:w="6000" w:type="dxa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21"/>
                <w:szCs w:val="21"/>
              </w:rPr>
              <w:t xml:space="preserve">12 (2 hs cada una)</w:t>
            </w:r>
          </w:p>
        </w:tc>
      </w:tr>
      <w:tr>
        <w:tc>
          <w:tcPr>
            <w:tcW w:w="3000" w:type="dxa"/>
            <w:shd w:val="clear" w:color="auto" w:fill="F2FBFD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caps/>
                <w:color w:val="707070"/>
                <w:spacing w:val="10"/>
                <w:sz w:val="15"/>
                <w:szCs w:val="15"/>
              </w:rPr>
              <w:t xml:space="preserve">Cantidad de horas</w:t>
            </w:r>
          </w:p>
        </w:tc>
        <w:tc>
          <w:tcPr>
            <w:tcW w:w="6000" w:type="dxa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21"/>
                <w:szCs w:val="21"/>
              </w:rPr>
              <w:t xml:space="preserve">24 hs reloj · 32 hs cátedra</w:t>
            </w:r>
          </w:p>
        </w:tc>
      </w:tr>
    </w:tbl>
    <w:p>
      <w:pPr>
        <w:spacing w:before="0" w:after="0" w:line="240" w:lineRule="auto"/>
      </w:pP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Fundamentación</w:t>
      </w:r>
    </w:p>
    <w:p>
      <w:pPr>
        <w:spacing w:before="0" w:after="60" w:line="276" w:lineRule="auto"/>
        <w:jc w:val="both"/>
      </w:pPr>
      <w:r>
        <w:rPr>
          <w:rFonts w:ascii="Calibri" w:hAnsi="Calibri" w:cs="Calibri"/>
          <w:color w:val="3A4157"/>
          <w:sz w:val="21"/>
          <w:szCs w:val="21"/>
        </w:rPr>
        <w:t xml:space="preserve">La modernización tecnológica de la Administración Pública Provincial exige equipos capaces de construir aplicaciones escalables, mantenibles y seguras. PHP con Laravel es hoy uno de los entornos más extendidos para aplicaciones de gestión: permite implementar arquitecturas robustas, servicios web y APIs REST sobre una base ampliamente documentada y sostenida. El curso propone un recorrido gradual que parte de los fundamentos del lenguaje y llega al desarrollo de aplicaciones completas, incorporando buenas prácticas, patrones de diseño, testing y despliegue.</w:t>
      </w: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Objetivo general</w:t>
      </w:r>
    </w:p>
    <w:p>
      <w:pPr>
        <w:spacing w:before="0" w:after="60" w:line="276" w:lineRule="auto"/>
        <w:jc w:val="both"/>
      </w:pPr>
      <w:r>
        <w:rPr>
          <w:rFonts w:ascii="Calibri" w:hAnsi="Calibri" w:cs="Calibri"/>
          <w:color w:val="3A4157"/>
          <w:sz w:val="21"/>
          <w:szCs w:val="21"/>
        </w:rPr>
        <w:t xml:space="preserve">Desarrollar aplicaciones web completas con PHP y Laravel, aplicando el patrón MVC, persistencia con Eloquent ORM y construcción de APIs REST, con criterios de calidad y seguridad adecuados a los sistemas de la Provincia.</w:t>
      </w: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Objetivos específicos</w:t>
      </w:r>
    </w:p>
    <w:p>
      <w:pPr>
        <w:spacing w:before="0" w:after="60" w:line="276" w:lineRule="auto"/>
        <w:ind w:left="284" w:hanging="284"/>
      </w:pPr>
      <w:r>
        <w:rPr>
          <w:rFonts w:ascii="Calibri" w:hAnsi="Calibri" w:cs="Calibri"/>
          <w:b/>
          <w:color w:val="00B0C6"/>
          <w:sz w:val="21"/>
          <w:szCs w:val="21"/>
        </w:rPr>
        <w:t xml:space="preserve">▸  </w:t>
      </w:r>
      <w:r>
        <w:rPr>
          <w:rFonts w:ascii="Calibri" w:hAnsi="Calibri" w:cs="Calibri"/>
          <w:color w:val="3A4157"/>
          <w:sz w:val="21"/>
          <w:szCs w:val="21"/>
        </w:rPr>
        <w:t xml:space="preserve">Familiarizarse con la sintaxis de PHP 8 y con la programación orientada a objetos, hasta leer y escribir código con autonomía.</w:t>
      </w:r>
    </w:p>
    <w:p>
      <w:pPr>
        <w:spacing w:before="0" w:after="60" w:line="276" w:lineRule="auto"/>
        <w:ind w:left="284" w:hanging="284"/>
      </w:pPr>
      <w:r>
        <w:rPr>
          <w:rFonts w:ascii="Calibri" w:hAnsi="Calibri" w:cs="Calibri"/>
          <w:b/>
          <w:color w:val="00B0C6"/>
          <w:sz w:val="21"/>
          <w:szCs w:val="21"/>
        </w:rPr>
        <w:t xml:space="preserve">▸  </w:t>
      </w:r>
      <w:r>
        <w:rPr>
          <w:rFonts w:ascii="Calibri" w:hAnsi="Calibri" w:cs="Calibri"/>
          <w:color w:val="3A4157"/>
          <w:sz w:val="21"/>
          <w:szCs w:val="21"/>
        </w:rPr>
        <w:t xml:space="preserve">Estructurar una aplicación Laravel según el patrón MVC, resolviendo ruteo, vistas y validación.</w:t>
      </w:r>
    </w:p>
    <w:p>
      <w:pPr>
        <w:spacing w:before="0" w:after="60" w:line="276" w:lineRule="auto"/>
        <w:ind w:left="284" w:hanging="284"/>
      </w:pPr>
      <w:r>
        <w:rPr>
          <w:rFonts w:ascii="Calibri" w:hAnsi="Calibri" w:cs="Calibri"/>
          <w:b/>
          <w:color w:val="00B0C6"/>
          <w:sz w:val="21"/>
          <w:szCs w:val="21"/>
        </w:rPr>
        <w:t xml:space="preserve">▸  </w:t>
      </w:r>
      <w:r>
        <w:rPr>
          <w:rFonts w:ascii="Calibri" w:hAnsi="Calibri" w:cs="Calibri"/>
          <w:color w:val="3A4157"/>
          <w:sz w:val="21"/>
          <w:szCs w:val="21"/>
        </w:rPr>
        <w:t xml:space="preserve">Modelar y consultar bases de datos relacionales con migraciones y Eloquent ORM.</w:t>
      </w:r>
    </w:p>
    <w:p>
      <w:pPr>
        <w:spacing w:before="0" w:after="60" w:line="276" w:lineRule="auto"/>
        <w:ind w:left="284" w:hanging="284"/>
      </w:pPr>
      <w:r>
        <w:rPr>
          <w:rFonts w:ascii="Calibri" w:hAnsi="Calibri" w:cs="Calibri"/>
          <w:b/>
          <w:color w:val="00B0C6"/>
          <w:sz w:val="21"/>
          <w:szCs w:val="21"/>
        </w:rPr>
        <w:t xml:space="preserve">▸  </w:t>
      </w:r>
      <w:r>
        <w:rPr>
          <w:rFonts w:ascii="Calibri" w:hAnsi="Calibri" w:cs="Calibri"/>
          <w:color w:val="3A4157"/>
          <w:sz w:val="21"/>
          <w:szCs w:val="21"/>
        </w:rPr>
        <w:t xml:space="preserve">Construir y consumir APIs REST, incorporando autenticación y control de accesos.</w:t>
      </w:r>
    </w:p>
    <w:p>
      <w:pPr>
        <w:spacing w:before="0" w:after="60" w:line="276" w:lineRule="auto"/>
        <w:ind w:left="284" w:hanging="284"/>
      </w:pPr>
      <w:r>
        <w:rPr>
          <w:rFonts w:ascii="Calibri" w:hAnsi="Calibri" w:cs="Calibri"/>
          <w:b/>
          <w:color w:val="00B0C6"/>
          <w:sz w:val="21"/>
          <w:szCs w:val="21"/>
        </w:rPr>
        <w:t xml:space="preserve">▸  </w:t>
      </w:r>
      <w:r>
        <w:rPr>
          <w:rFonts w:ascii="Calibri" w:hAnsi="Calibri" w:cs="Calibri"/>
          <w:color w:val="3A4157"/>
          <w:sz w:val="21"/>
          <w:szCs w:val="21"/>
        </w:rPr>
        <w:t xml:space="preserve">Aplicar prácticas de calidad —testing, manejo de errores y logging— y desplegar la aplicación con Docker.</w:t>
      </w: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Contenidos</w:t>
      </w:r>
    </w:p>
    <w:tbl>
      <w:tblPr>
        <w:tblW w:w="9000" w:type="dxa"/>
        <w:tblBorders>
          <w:top w:val="single" w:sz="4" w:space="0" w:color="DFE3EC"/>
          <w:left w:val="single" w:sz="4" w:space="0" w:color="DFE3EC"/>
          <w:bottom w:val="single" w:sz="4" w:space="0" w:color="DFE3EC"/>
          <w:right w:val="single" w:sz="4" w:space="0" w:color="DFE3EC"/>
          <w:insideH w:val="single" w:sz="4" w:space="0" w:color="DFE3EC"/>
          <w:insideV w:val="none" w:sz="0" w:space="0" w:color="auto"/>
        </w:tblBorders>
        <w:tblLayout w:type="fixed"/>
      </w:tblPr>
      <w:tblGrid>
        <w:gridCol w:w="560"/>
        <w:gridCol w:w="8440"/>
      </w:tblGrid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01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La web y los fundamentos de PHP 8.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Arquitectura cliente-servidor, HTTP, sintaxis de PHP 8 y entorno de trabajo.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02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POO, Composer y primer proyecto Laravel.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Clases y objetos, namespaces, autoload, Composer, Artisan y estructura del proyecto.</w:t>
            </w:r>
          </w:p>
        </w:tc>
      </w:tr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03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MVC, ruteo y ciclo de una petición.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Patrón MVC, routing, controladores y middleware.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04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Blade, formularios y validación.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Plantillas Blade, layouts, componentes, formularios y mensajes de sesión.</w:t>
            </w:r>
          </w:p>
        </w:tc>
      </w:tr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05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Base de datos, migraciones y seeders.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Configuración de MySQL, migraciones, seeders, factories y Query Builder.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06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Eloquent ORM y relaciones.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CRUD completo, relaciones 1-1, 1-N y N-N, accessors, mutators y scopes.</w:t>
            </w:r>
          </w:p>
        </w:tc>
      </w:tr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07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Servicios e inyección de dependencias.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Service Container, providers, Repository Pattern y capa de servicios.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08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APIs REST y consumo de servicios.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REST, resource controllers, API Resources, cliente HTTP y serialización JSON.</w:t>
            </w:r>
          </w:p>
        </w:tc>
      </w:tr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09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Autenticación y autorización.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Autenticación por tokens, policies, gates, roles y permisos.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10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Validación avanzada, errores y logging.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Form Requests, reglas propias, manejo de errores, excepciones y logs.</w:t>
            </w:r>
          </w:p>
        </w:tc>
      </w:tr>
      <w:tr>
        <w:tc>
          <w:tcPr>
            <w:tcW w:w="56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11</w:t>
            </w:r>
          </w:p>
        </w:tc>
        <w:tc>
          <w:tcPr>
            <w:tcW w:w="8440" w:type="dxa"/>
            <w:shd w:val="clear" w:color="auto" w:fill="F2FBFD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Microservicios, colas, cache y Redis.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Comunicación entre servicios, eventos, jobs en segundo plano, cache y Redis.</w:t>
            </w:r>
          </w:p>
        </w:tc>
      </w:tr>
      <w:tr>
        <w:tc>
          <w:tcPr>
            <w:tcW w:w="56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/>
                <w:b/>
                <w:color w:val="00B0C6"/>
                <w:sz w:val="17"/>
                <w:szCs w:val="17"/>
              </w:rPr>
              <w:t xml:space="preserve">12</w:t>
            </w:r>
          </w:p>
        </w:tc>
        <w:tc>
          <w:tcPr>
            <w:tcW w:w="8440" w:type="dxa"/>
            <w:tcMar>
              <w:top w:w="50" w:type="dxa"/>
              <w:bottom w:w="5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/>
                <w:b/>
                <w:color w:val="1C2030"/>
                <w:sz w:val="19"/>
                <w:szCs w:val="19"/>
              </w:rPr>
              <w:t xml:space="preserve">Docker, testing y despliegue. </w:t>
            </w:r>
            <w:r>
              <w:rPr>
                <w:rFonts w:ascii="Calibri" w:hAnsi="Calibri" w:cs="Calibri"/>
                <w:color w:val="707070"/>
                <w:sz w:val="19"/>
                <w:szCs w:val="19"/>
              </w:rPr>
              <w:t xml:space="preserve">Contenedores, testing con PHPUnit, buenas prácticas, deploy e integración final.</w:t>
            </w:r>
          </w:p>
        </w:tc>
      </w:tr>
    </w:tbl>
    <w:p>
      <w:pPr>
        <w:spacing w:before="0" w:after="0" w:line="240" w:lineRule="auto"/>
      </w:pP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Metodología</w:t>
      </w:r>
    </w:p>
    <w:p>
      <w:pPr>
        <w:spacing w:before="0" w:after="60" w:line="276" w:lineRule="auto"/>
        <w:jc w:val="both"/>
      </w:pPr>
      <w:r>
        <w:rPr>
          <w:rFonts w:ascii="Calibri" w:hAnsi="Calibri" w:cs="Calibri"/>
          <w:color w:val="3A4157"/>
          <w:sz w:val="21"/>
          <w:szCs w:val="21"/>
        </w:rPr>
        <w:t xml:space="preserve">Cursada virtual en el aula del IPAP. Cada clase combina una exposición teórica breve con práctica guiada sobre un proyecto que se construye a lo largo del curso. El material —diapositivas, guías y ejercicios resueltos— queda disponible en el sitio del curso, junto con pruebas de concepto ejecutables por tema. Se prevén encuentros sincrónicos por videoconferencia para consultas y seguimiento.</w:t>
      </w:r>
    </w:p>
    <w:p>
      <w:pPr>
        <w:keepNext/>
        <w:pBdr>
          <w:bottom w:val="single" w:sz="4" w:space="4" w:color="DFE3EC"/>
        </w:pBdr>
        <w:spacing w:before="260" w:after="100" w:line="240" w:lineRule="auto"/>
      </w:pPr>
      <w:r>
        <w:rPr>
          <w:rFonts w:ascii="Calibri" w:hAnsi="Calibri" w:cs="Calibri"/>
          <w:b/>
          <w:color w:val="00B0C6"/>
          <w:sz w:val="22"/>
          <w:szCs w:val="22"/>
        </w:rPr>
        <w:t xml:space="preserve">▪ </w:t>
      </w:r>
      <w:r>
        <w:rPr>
          <w:rFonts w:ascii="Calibri" w:hAnsi="Calibri" w:cs="Calibri"/>
          <w:b/>
          <w:color w:val="1C2030"/>
          <w:sz w:val="22"/>
          <w:szCs w:val="22"/>
        </w:rPr>
        <w:t xml:space="preserve">Evaluación</w:t>
      </w:r>
    </w:p>
    <w:p>
      <w:pPr>
        <w:spacing w:before="0" w:after="60" w:line="276" w:lineRule="auto"/>
        <w:jc w:val="both"/>
      </w:pPr>
      <w:r>
        <w:rPr>
          <w:rFonts w:ascii="Calibri" w:hAnsi="Calibri" w:cs="Calibri"/>
          <w:color w:val="3A4157"/>
          <w:sz w:val="21"/>
          <w:szCs w:val="21"/>
        </w:rPr>
        <w:t xml:space="preserve">La aprobación se obtiene mediante un </w:t>
      </w:r>
      <w:r>
        <w:rPr>
          <w:rFonts w:ascii="Calibri" w:hAnsi="Calibri" w:cs="Calibri"/>
          <w:b/>
          <w:color w:val="3A4157"/>
          <w:sz w:val="21"/>
          <w:szCs w:val="21"/>
        </w:rPr>
        <w:t xml:space="preserve">examen final de opción múltiple</w:t>
      </w:r>
      <w:r>
        <w:rPr>
          <w:rFonts w:ascii="Calibri" w:hAnsi="Calibri" w:cs="Calibri"/>
          <w:color w:val="3A4157"/>
          <w:sz w:val="21"/>
          <w:szCs w:val="21"/>
        </w:rPr>
        <w:t xml:space="preserve">, administrado a través del aula virtual (Moodle). Se califica como </w:t>
      </w:r>
      <w:r>
        <w:rPr>
          <w:rFonts w:ascii="Calibri" w:hAnsi="Calibri" w:cs="Calibri"/>
          <w:i/>
          <w:color w:val="3A4157"/>
          <w:sz w:val="21"/>
          <w:szCs w:val="21"/>
        </w:rPr>
        <w:t xml:space="preserve">Aprobado</w:t>
      </w:r>
      <w:r>
        <w:rPr>
          <w:rFonts w:ascii="Calibri" w:hAnsi="Calibri" w:cs="Calibri"/>
          <w:color w:val="3A4157"/>
          <w:sz w:val="21"/>
          <w:szCs w:val="21"/>
        </w:rPr>
        <w:t xml:space="preserve"> o </w:t>
      </w:r>
      <w:r>
        <w:rPr>
          <w:rFonts w:ascii="Calibri" w:hAnsi="Calibri" w:cs="Calibri"/>
          <w:i/>
          <w:color w:val="3A4157"/>
          <w:sz w:val="21"/>
          <w:szCs w:val="21"/>
        </w:rPr>
        <w:t xml:space="preserve">Desaprobado</w:t>
      </w:r>
      <w:r>
        <w:rPr>
          <w:rFonts w:ascii="Calibri" w:hAnsi="Calibri" w:cs="Calibri"/>
          <w:color w:val="3A4157"/>
          <w:sz w:val="21"/>
          <w:szCs w:val="21"/>
        </w:rPr>
        <w:t xml:space="preserve">. Las actividades prácticas y el proyecto integrador que acompañan la cursada son material complementario, orientado a consolidar los conceptos, y no inciden en la calificación.</w:t>
      </w:r>
    </w:p>
    <w:p>
      <w:pPr>
        <w:pBdr>
          <w:left w:val="single" w:sz="18" w:space="8" w:color="B83880"/>
        </w:pBdr>
        <w:shd w:val="clear" w:color="auto" w:fill="FDF4F9"/>
        <w:spacing w:before="240" w:after="60" w:line="252" w:lineRule="auto"/>
        <w:ind w:left="170" w:right="113"/>
      </w:pPr>
      <w:r>
        <w:rPr>
          <w:rFonts w:ascii="Calibri" w:hAnsi="Calibri" w:cs="Calibri"/>
          <w:color w:val="3A4157"/>
          <w:sz w:val="18"/>
          <w:szCs w:val="18"/>
        </w:rPr>
        <w:t xml:space="preserve">El desarrollo detallado de cada clase —diapositivas, guías, ejercicios y proyecto integrador— está publicado en el sitio del curso: ipap.gba.gob.ar</w:t>
      </w:r>
    </w:p>
    <w:sectPr>
      <w:headerReference w:type="default" r:id="rId5"/>
      <w:headerReference w:type="first" r:id="rId6"/>
      <w:footerReference w:type="default" r:id="rId7"/>
      <w:footerReference w:type="first" r:id="rId7"/>
      <w:pgSz w:w="11906" w:h="16838"/>
      <w:pgMar w:top="2268" w:right="1418" w:bottom="1134" w:left="1418" w:header="709" w:footer="510" w:gutter="0"/>
      <w:cols w:space="720"/>
      <w:titlePg/>
      <w:docGrid w:linePitch="326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FE3EC"/>
      </w:pBdr>
      <w:spacing w:before="0" w:after="0" w:line="240" w:lineRule="auto"/>
    </w:pPr>
    <w:r>
      <w:rPr>
        <w:rFonts w:ascii="Calibri" w:hAnsi="Calibri"/>
        <w:color w:val="767171"/>
        <w:sz w:val="17"/>
      </w:rPr>
      <w:fldChar w:fldCharType="begin"/>
    </w:r>
    <w:r>
      <w:rPr>
        <w:rFonts w:ascii="Calibri" w:hAnsi="Calibri"/>
        <w:color w:val="767171"/>
        <w:sz w:val="17"/>
      </w:rPr>
      <w:instrText xml:space="preserve"> PAGE </w:instrText>
    </w:r>
    <w:r>
      <w:rPr>
        <w:rFonts w:ascii="Calibri" w:hAnsi="Calibri"/>
        <w:color w:val="767171"/>
        <w:sz w:val="17"/>
      </w:rPr>
      <w:fldChar w:fldCharType="separate"/>
    </w:r>
    <w:r>
      <w:rPr>
        <w:rFonts w:ascii="Calibri" w:hAnsi="Calibri"/>
        <w:color w:val="767171"/>
        <w:sz w:val="17"/>
      </w:rPr>
      <w:t>1</w:t>
    </w:r>
    <w:r>
      <w:rPr>
        <w:rFonts w:ascii="Calibri" w:hAnsi="Calibri"/>
        <w:color w:val="767171"/>
        <w:sz w:val="17"/>
      </w:rPr>
      <w:fldChar w:fldCharType="end"/>
    </w:r>
    <w:r>
      <w:rPr>
        <w:rFonts w:ascii="Calibri" w:hAnsi="Calibri" w:cs="Calibri"/>
        <w:b/>
        <w:color w:val="767171"/>
        <w:sz w:val="17"/>
        <w:szCs w:val="17"/>
      </w:rPr>
      <w:t xml:space="preserve"> | ipap.gba.gob.ar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 w:line="240" w:lineRule="auto"/>
    </w:pPr>
    <w:r>
      <w:rPr>
        <w:rFonts w:ascii="Calibri" w:hAnsi="Calibri" w:cs="Calibri"/>
        <w:color w:val="404143"/>
        <w:sz w:val="20"/>
        <w:szCs w:val="20"/>
      </w:rPr>
      <w:t xml:space="preserve">IPAP | PROGRAMA DE FORMACIÓN GENERAL 2026</w:t>
    </w:r>
  </w:p>
  <w:p>
    <w:pPr>
      <w:pBdr>
        <w:bottom w:val="single" w:sz="4" w:space="4" w:color="DFE3EC"/>
      </w:pBdr>
      <w:spacing w:before="0" w:after="0" w:line="240" w:lineRule="auto"/>
    </w:pPr>
    <w:r>
      <w:rPr>
        <w:rFonts w:ascii="Calibri" w:hAnsi="Calibri" w:cs="Calibri"/>
        <w:color w:val="707070"/>
        <w:sz w:val="20"/>
        <w:szCs w:val="20"/>
      </w:rPr>
      <w:t xml:space="preserve">Desarrollo de aplicaciones web con PHP y Laravel</w:t>
    </w: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pBdr>
        <w:bottom w:val="single" w:sz="12" w:space="4" w:color="00B0C6"/>
      </w:pBdr>
      <w:spacing w:before="0" w:after="0" w:line="240" w:lineRule="auto"/>
    </w:pPr>
    <w:r>
      <w:drawing>
        <wp:inline xmlns:wp="http://schemas.openxmlformats.org/drawingml/2006/wordprocessingDrawing" distT="0" distB="0" distL="0" distR="0">
          <wp:extent cx="5310000" cy="898402"/>
          <wp:docPr id="1" name="Logo IPAP · Gobierno de la Provincia de Buenos Aires" descr="IPAP - Subsecretaria de Gestion y Empleo Publico - Secretaria General - Gobierno de la Provincia de Buenos Aires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ap-gb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10000" cy="898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3A4157"/>
        <w:sz w:val="21"/>
        <w:szCs w:val="21"/>
        <w:lang w:val="es-A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4" Type="http://schemas.openxmlformats.org/officeDocument/2006/relationships/styles" Target="styles.xml"/>
  <Relationship Id="rId5" Type="http://schemas.openxmlformats.org/officeDocument/2006/relationships/header" Target="header1.xml"/>
  <Relationship Id="rId6" Type="http://schemas.openxmlformats.org/officeDocument/2006/relationships/header" Target="header2.xml"/>
  <Relationship Id="rId7" Type="http://schemas.openxmlformats.org/officeDocument/2006/relationships/footer" Target="footer1.xml"/>
</Relationships>
</file>

<file path=word/_rels/header2.xml.rels><?xml version="1.0" encoding="UTF-8" standalone="yes"?>
<Relationships xmlns="http://schemas.openxmlformats.org/package/2006/relationships">
  <Relationship Id="rId1" Type="http://schemas.openxmlformats.org/officeDocument/2006/relationships/image" Target="media/logo-ipap-gba.png"/>
</Relationships>
</file>

<file path=docProps/app.xml><?xml version="1.0" encoding="utf-8"?>
<Properties xmlns="http://schemas.openxmlformats.org/officeDocument/2006/extended-properties">
  <Application>Capacitación IPAP · generar-docx-programa.py</Application>
  <Company>Gobierno de la Provincia de Buenos Aires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Desarrollo de aplicaciones web con PHP y Laravel — Programa 2026</dc:title>
  <dc:subject>IPAP · Programa de Formación General 2026</dc:subject>
  <dc:creator>IPAP · Instituto Provincial de la Administración Pública</dc:creator>
  <cp:lastModifiedBy>IPAP</cp:lastModifiedBy>
  <cp:revision>1</cp:revision>
</cp:coreProperties>
</file>